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FB1" w:rsidRPr="00CD6FB1" w:rsidRDefault="00CD6FB1" w:rsidP="00CD6FB1">
      <w:pPr>
        <w:rPr>
          <w:b/>
          <w:bCs/>
        </w:rPr>
      </w:pPr>
      <w:r w:rsidRPr="00CD6FB1">
        <w:rPr>
          <w:b/>
          <w:bCs/>
        </w:rPr>
        <w:t>ГОСТ Р 56765-2015</w:t>
      </w:r>
    </w:p>
    <w:p w:rsidR="00CD6FB1" w:rsidRPr="00CD6FB1" w:rsidRDefault="00CD6FB1" w:rsidP="00CD6FB1">
      <w:pPr>
        <w:rPr>
          <w:b/>
          <w:bCs/>
        </w:rPr>
      </w:pPr>
      <w:r w:rsidRPr="00CD6FB1">
        <w:rPr>
          <w:b/>
          <w:bCs/>
        </w:rPr>
        <w:t xml:space="preserve">Деятельность </w:t>
      </w:r>
      <w:proofErr w:type="spellStart"/>
      <w:r w:rsidRPr="00CD6FB1">
        <w:rPr>
          <w:b/>
          <w:bCs/>
        </w:rPr>
        <w:t>выставочно</w:t>
      </w:r>
      <w:proofErr w:type="spellEnd"/>
      <w:r w:rsidRPr="00CD6FB1">
        <w:rPr>
          <w:b/>
          <w:bCs/>
        </w:rPr>
        <w:t>-ярмарочная. Основные положения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7387"/>
      </w:tblGrid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Обозначение: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ГОСТ Р 56765-2015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Статус: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принят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Тип: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ГОСТ Р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Название русское: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 xml:space="preserve">Деятельность </w:t>
            </w:r>
            <w:proofErr w:type="spellStart"/>
            <w:r w:rsidRPr="00CD6FB1">
              <w:t>выставочно</w:t>
            </w:r>
            <w:proofErr w:type="spellEnd"/>
            <w:r w:rsidRPr="00CD6FB1">
              <w:t>-ярмарочная. Основные положения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Название английское: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rPr>
                <w:lang w:val="en-US"/>
              </w:rPr>
              <w:t xml:space="preserve">Exhibition and trade fair activities. </w:t>
            </w:r>
            <w:proofErr w:type="spellStart"/>
            <w:r w:rsidRPr="00CD6FB1">
              <w:t>Basic</w:t>
            </w:r>
            <w:proofErr w:type="spellEnd"/>
            <w:r w:rsidRPr="00CD6FB1">
              <w:t xml:space="preserve"> </w:t>
            </w:r>
            <w:proofErr w:type="spellStart"/>
            <w:r w:rsidRPr="00CD6FB1">
              <w:t>provisions</w:t>
            </w:r>
            <w:proofErr w:type="spellEnd"/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Дата актуализации текста: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26.02.2016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Дата актуализации описания: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07.08.2016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Дата издания: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08.02.2016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Дата введения в действие: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01.10.2016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Дата последнего изменения: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18.07.2016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Область и условия применения: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 xml:space="preserve">Настоящий стандарт устанавливает основные положения в области </w:t>
            </w:r>
            <w:proofErr w:type="spellStart"/>
            <w:r w:rsidRPr="00CD6FB1">
              <w:t>выставочно</w:t>
            </w:r>
            <w:proofErr w:type="spellEnd"/>
            <w:r w:rsidRPr="00CD6FB1">
              <w:t>-ярмарочной деятельности. &lt;</w:t>
            </w:r>
            <w:proofErr w:type="spellStart"/>
            <w:r w:rsidRPr="00CD6FB1">
              <w:t>br</w:t>
            </w:r>
            <w:proofErr w:type="spellEnd"/>
            <w:r w:rsidRPr="00CD6FB1">
              <w:t xml:space="preserve">&gt; Настоящий стандарт распространяется на организации различных организационно-правовых форм, а также индивидуальных предпринимателей, осуществляющих </w:t>
            </w:r>
            <w:proofErr w:type="spellStart"/>
            <w:r w:rsidRPr="00CD6FB1">
              <w:t>выставочно</w:t>
            </w:r>
            <w:proofErr w:type="spellEnd"/>
            <w:r w:rsidRPr="00CD6FB1">
              <w:t xml:space="preserve">-ярмарочную деятельность и предоставляющих </w:t>
            </w:r>
            <w:proofErr w:type="spellStart"/>
            <w:r w:rsidRPr="00CD6FB1">
              <w:t>выставочно</w:t>
            </w:r>
            <w:proofErr w:type="spellEnd"/>
            <w:r w:rsidRPr="00CD6FB1">
              <w:t xml:space="preserve">-ярмарочные услуги, в </w:t>
            </w:r>
            <w:proofErr w:type="spellStart"/>
            <w:r w:rsidRPr="00CD6FB1">
              <w:t>т.ч</w:t>
            </w:r>
            <w:proofErr w:type="spellEnd"/>
            <w:r w:rsidRPr="00CD6FB1">
              <w:t xml:space="preserve">. </w:t>
            </w:r>
            <w:proofErr w:type="spellStart"/>
            <w:r w:rsidRPr="00CD6FB1">
              <w:t>конгрессные</w:t>
            </w:r>
            <w:proofErr w:type="spellEnd"/>
            <w:r w:rsidRPr="00CD6FB1">
              <w:t xml:space="preserve"> услуги. &lt;</w:t>
            </w:r>
            <w:proofErr w:type="spellStart"/>
            <w:r w:rsidRPr="00CD6FB1">
              <w:t>br</w:t>
            </w:r>
            <w:proofErr w:type="spellEnd"/>
            <w:r w:rsidRPr="00CD6FB1">
              <w:t xml:space="preserve">&gt; Настоящий стандарт является основополагающим при разработке нормативных документов на конкретные виды </w:t>
            </w:r>
            <w:proofErr w:type="spellStart"/>
            <w:r w:rsidRPr="00CD6FB1">
              <w:t>выставочно</w:t>
            </w:r>
            <w:proofErr w:type="spellEnd"/>
            <w:r w:rsidRPr="00CD6FB1">
              <w:t xml:space="preserve">-ярмарочной деятельности и </w:t>
            </w:r>
            <w:proofErr w:type="spellStart"/>
            <w:r w:rsidRPr="00CD6FB1">
              <w:t>выставочно</w:t>
            </w:r>
            <w:proofErr w:type="spellEnd"/>
            <w:r w:rsidRPr="00CD6FB1">
              <w:t xml:space="preserve">-ярмарочных услуг, в т. ч. </w:t>
            </w:r>
            <w:proofErr w:type="spellStart"/>
            <w:r w:rsidRPr="00CD6FB1">
              <w:t>конгрессных</w:t>
            </w:r>
            <w:proofErr w:type="spellEnd"/>
            <w:r w:rsidRPr="00CD6FB1">
              <w:t xml:space="preserve"> услуг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Список изменений: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r w:rsidRPr="00CD6FB1">
              <w:t>№0 от (рег. ) «Утратил силу в РФ»</w:t>
            </w:r>
          </w:p>
        </w:tc>
      </w:tr>
      <w:tr w:rsidR="00CD6FB1" w:rsidRPr="00CD6FB1" w:rsidTr="00CD6FB1">
        <w:tc>
          <w:tcPr>
            <w:tcW w:w="0" w:type="auto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:rsidR="00CD6FB1" w:rsidRPr="00CD6FB1" w:rsidRDefault="00CD6FB1" w:rsidP="00CD6FB1">
            <w:pPr>
              <w:rPr>
                <w:b/>
                <w:bCs/>
              </w:rPr>
            </w:pPr>
            <w:r w:rsidRPr="00CD6FB1">
              <w:rPr>
                <w:b/>
                <w:bCs/>
              </w:rPr>
              <w:t>Расположен в:</w:t>
            </w:r>
          </w:p>
        </w:tc>
        <w:tc>
          <w:tcPr>
            <w:tcW w:w="0" w:type="auto"/>
            <w:hideMark/>
          </w:tcPr>
          <w:p w:rsidR="00CD6FB1" w:rsidRPr="00CD6FB1" w:rsidRDefault="00CD6FB1" w:rsidP="00CD6FB1">
            <w:hyperlink r:id="rId4" w:history="1">
              <w:r w:rsidRPr="00CD6FB1">
                <w:rPr>
                  <w:rStyle w:val="a3"/>
                </w:rPr>
                <w:t>Общероссийский классификатор стандартов</w:t>
              </w:r>
            </w:hyperlink>
            <w:r w:rsidRPr="00CD6FB1">
              <w:br/>
              <w:t>  → </w:t>
            </w:r>
            <w:hyperlink r:id="rId5" w:history="1">
              <w:r w:rsidRPr="00CD6FB1">
                <w:rPr>
                  <w:rStyle w:val="a3"/>
                </w:rPr>
                <w:t>Услуги. Организация фирм, управление и качество. Администрация. Транспорт. Социология.</w:t>
              </w:r>
            </w:hyperlink>
            <w:r w:rsidRPr="00CD6FB1">
              <w:br/>
              <w:t>    → </w:t>
            </w:r>
            <w:hyperlink r:id="rId6" w:history="1">
              <w:r w:rsidRPr="00CD6FB1">
                <w:rPr>
                  <w:rStyle w:val="a3"/>
                </w:rPr>
                <w:t>Услуги</w:t>
              </w:r>
            </w:hyperlink>
            <w:r w:rsidRPr="00CD6FB1">
              <w:br/>
              <w:t>      → </w:t>
            </w:r>
            <w:hyperlink r:id="rId7" w:history="1">
              <w:r w:rsidRPr="00CD6FB1">
                <w:rPr>
                  <w:rStyle w:val="a3"/>
                </w:rPr>
                <w:t>Услуги для потребителя</w:t>
              </w:r>
            </w:hyperlink>
          </w:p>
          <w:p w:rsidR="00CD6FB1" w:rsidRPr="00CD6FB1" w:rsidRDefault="00CD6FB1" w:rsidP="00CD6FB1">
            <w:hyperlink r:id="rId8" w:history="1">
              <w:r w:rsidRPr="00CD6FB1">
                <w:rPr>
                  <w:rStyle w:val="a3"/>
                </w:rPr>
                <w:t>Классификатор государственных стандартов</w:t>
              </w:r>
            </w:hyperlink>
            <w:r w:rsidRPr="00CD6FB1">
              <w:br/>
              <w:t>  → </w:t>
            </w:r>
            <w:hyperlink r:id="rId9" w:history="1">
              <w:r w:rsidRPr="00CD6FB1">
                <w:rPr>
                  <w:rStyle w:val="a3"/>
                </w:rPr>
                <w:t>Общетехнические и организационно-методические стандарты</w:t>
              </w:r>
            </w:hyperlink>
            <w:r w:rsidRPr="00CD6FB1">
              <w:br/>
              <w:t>    → </w:t>
            </w:r>
            <w:hyperlink r:id="rId10" w:history="1">
              <w:r w:rsidRPr="00CD6FB1">
                <w:rPr>
                  <w:rStyle w:val="a3"/>
                </w:rPr>
                <w:t>Система документации</w:t>
              </w:r>
            </w:hyperlink>
            <w:r w:rsidRPr="00CD6FB1">
              <w:br/>
              <w:t>      → </w:t>
            </w:r>
            <w:hyperlink r:id="rId11" w:history="1">
              <w:r w:rsidRPr="00CD6FB1">
                <w:rPr>
                  <w:rStyle w:val="a3"/>
                </w:rPr>
                <w:t xml:space="preserve">Система стандартов в области охраны природы и улучшения </w:t>
              </w:r>
              <w:r w:rsidRPr="00CD6FB1">
                <w:rPr>
                  <w:rStyle w:val="a3"/>
                </w:rPr>
                <w:lastRenderedPageBreak/>
                <w:t>использования природных ресурсов, безопасности труда, научной организации труда</w:t>
              </w:r>
            </w:hyperlink>
          </w:p>
        </w:tc>
      </w:tr>
    </w:tbl>
    <w:p w:rsidR="00CD6FB1" w:rsidRPr="00CD6FB1" w:rsidRDefault="00CD6FB1" w:rsidP="00CD6FB1"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12" name="Рисунок 12" descr="ГОСТ Р 56765-2015. Страниц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ОСТ Р 56765-2015. Страница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11" name="Рисунок 11" descr="ГОСТ Р 56765-2015. Страниц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ОСТ Р 56765-2015. Страница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10" name="Рисунок 10" descr="ГОСТ Р 56765-2015. Страниц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ОСТ Р 56765-2015. Страница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9" name="Рисунок 9" descr="ГОСТ Р 56765-2015. Страниц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ОСТ Р 56765-2015. Страница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8" name="Рисунок 8" descr="ГОСТ Р 56765-2015. Страниц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ГОСТ Р 56765-2015. Страница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7" name="Рисунок 7" descr="ГОСТ Р 56765-2015. Страниц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ОСТ Р 56765-2015. Страница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6" name="Рисунок 6" descr="ГОСТ Р 56765-2015. Страниц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ОСТ Р 56765-2015. Страница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5" name="Рисунок 5" descr="ГОСТ Р 56765-2015. Страниц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ОСТ Р 56765-2015. Страница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4" name="Рисунок 4" descr="ГОСТ Р 56765-2015. Страниц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ГОСТ Р 56765-2015. Страница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6FB1">
        <w:br/>
      </w:r>
      <w:r w:rsidRPr="00CD6FB1">
        <w:lastRenderedPageBreak/>
        <w:drawing>
          <wp:inline distT="0" distB="0" distL="0" distR="0">
            <wp:extent cx="6296025" cy="8915400"/>
            <wp:effectExtent l="0" t="0" r="9525" b="0"/>
            <wp:docPr id="3" name="Рисунок 3" descr="ГОСТ Р 56765-2015. Страниц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ГОСТ Р 56765-2015. Страница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1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FA0" w:rsidRDefault="00DD5FA0">
      <w:bookmarkStart w:id="0" w:name="_GoBack"/>
      <w:bookmarkEnd w:id="0"/>
    </w:p>
    <w:sectPr w:rsidR="00DD5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37"/>
    <w:rsid w:val="009C2F37"/>
    <w:rsid w:val="00CD6FB1"/>
    <w:rsid w:val="00DD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E587C3-FB63-49C0-AEF8-A778AC9D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6F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0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72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-law.ru/gosts/1448/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yperlink" Target="http://www.internet-law.ru/gosts/179/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hyperlink" Target="http://www.internet-law.ru/gosts/175/" TargetMode="External"/><Relationship Id="rId11" Type="http://schemas.openxmlformats.org/officeDocument/2006/relationships/hyperlink" Target="http://www.internet-law.ru/gosts/2598/" TargetMode="External"/><Relationship Id="rId5" Type="http://schemas.openxmlformats.org/officeDocument/2006/relationships/hyperlink" Target="http://www.internet-law.ru/gosts/171/" TargetMode="Externa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yperlink" Target="http://www.internet-law.ru/gosts/2589/" TargetMode="External"/><Relationship Id="rId19" Type="http://schemas.openxmlformats.org/officeDocument/2006/relationships/image" Target="media/image8.png"/><Relationship Id="rId4" Type="http://schemas.openxmlformats.org/officeDocument/2006/relationships/hyperlink" Target="http://www.internet-law.ru/gosts/101/" TargetMode="External"/><Relationship Id="rId9" Type="http://schemas.openxmlformats.org/officeDocument/2006/relationships/hyperlink" Target="http://www.internet-law.ru/gosts/2548/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2016-08-18T15:24:00Z</dcterms:created>
  <dcterms:modified xsi:type="dcterms:W3CDTF">2016-08-18T15:24:00Z</dcterms:modified>
</cp:coreProperties>
</file>